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F576" w14:textId="77777777" w:rsidR="00AE1576" w:rsidRDefault="00924D59">
      <w:pPr>
        <w:pStyle w:val="1"/>
        <w:widowControl/>
        <w:pBdr>
          <w:bottom w:val="single" w:sz="12" w:space="3" w:color="CC3300"/>
        </w:pBdr>
        <w:shd w:val="clear" w:color="auto" w:fill="FFFFFF"/>
        <w:spacing w:line="360" w:lineRule="exact"/>
        <w:jc w:val="center"/>
        <w:rPr>
          <w:rFonts w:ascii="微软雅黑" w:eastAsia="微软雅黑" w:hAnsi="微软雅黑" w:cs="微软雅黑" w:hint="default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上海建桥学院专升本【西方经济学】课程考试大纲</w:t>
      </w:r>
    </w:p>
    <w:p w14:paraId="367D64D8" w14:textId="77777777" w:rsidR="00AE1576" w:rsidRDefault="00924D59">
      <w:pPr>
        <w:pStyle w:val="a7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一、考试目标</w:t>
      </w:r>
    </w:p>
    <w:p w14:paraId="0392760F" w14:textId="77777777" w:rsidR="00AE1576" w:rsidRDefault="00924D59">
      <w:pPr>
        <w:pStyle w:val="a7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考试目标是测试学生掌握微观经济学的基本理论和基本分析方法，宏观经济学的基本理论和运行机制，以及运用经济学基本理论和方法来分析和解决实际经济问题的能力，满足国际经济与贸易专业所需经济学基础知识的要求，并为后继课程和专业课程的学习奠定基础。</w:t>
      </w:r>
    </w:p>
    <w:p w14:paraId="24C7CAC8" w14:textId="77777777" w:rsidR="00AE1576" w:rsidRDefault="00924D59">
      <w:pPr>
        <w:pStyle w:val="a7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二、考试细则</w:t>
      </w:r>
    </w:p>
    <w:p w14:paraId="1FBB3060" w14:textId="77777777" w:rsidR="00AE1576" w:rsidRDefault="00924D59">
      <w:pPr>
        <w:pStyle w:val="a7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1．考试内容包括微观经济学和宏观经济学两部分，分值比例基本为1:1。</w:t>
      </w:r>
    </w:p>
    <w:p w14:paraId="6B3BA4EB" w14:textId="77777777" w:rsidR="00AE1576" w:rsidRDefault="00924D59">
      <w:pPr>
        <w:pStyle w:val="a7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2. 考试采用闭卷纸质试卷形式完成考试，考试时间为120分钟，总分为100分。</w:t>
      </w:r>
    </w:p>
    <w:p w14:paraId="6A32C79A" w14:textId="77777777" w:rsidR="00AE1576" w:rsidRDefault="00924D59">
      <w:pPr>
        <w:pStyle w:val="a7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3考试题型分为：单项选择题、简答题、计算题和论述题等四种题型。</w:t>
      </w:r>
    </w:p>
    <w:p w14:paraId="39203F14" w14:textId="77777777" w:rsidR="00AE1576" w:rsidRDefault="00924D59">
      <w:pPr>
        <w:pStyle w:val="a7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三、试卷题型及分值分布要求</w:t>
      </w:r>
    </w:p>
    <w:p w14:paraId="2520BDD4" w14:textId="77777777" w:rsidR="00AE1576" w:rsidRDefault="00AE1576">
      <w:pPr>
        <w:pStyle w:val="a7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tbl>
      <w:tblPr>
        <w:tblW w:w="5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865"/>
      </w:tblGrid>
      <w:tr w:rsidR="00AE1576" w14:paraId="3CE234CB" w14:textId="77777777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41F4681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题型</w:t>
            </w:r>
          </w:p>
        </w:tc>
        <w:tc>
          <w:tcPr>
            <w:tcW w:w="2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EE0B08E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分值</w:t>
            </w:r>
          </w:p>
        </w:tc>
      </w:tr>
      <w:tr w:rsidR="00AE1576" w14:paraId="20060454" w14:textId="77777777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D10174D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单项选择题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D5AD0B7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20</w:t>
            </w:r>
          </w:p>
        </w:tc>
      </w:tr>
      <w:tr w:rsidR="00AE1576" w14:paraId="5A9F4197" w14:textId="77777777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1E0CA22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简答题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7B735FF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20</w:t>
            </w:r>
          </w:p>
        </w:tc>
      </w:tr>
      <w:tr w:rsidR="00AE1576" w14:paraId="374CB7FF" w14:textId="77777777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AA42269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计算题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5C8E6D7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30</w:t>
            </w:r>
          </w:p>
        </w:tc>
      </w:tr>
      <w:tr w:rsidR="00AE1576" w14:paraId="16C7FC6B" w14:textId="77777777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53B8F13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论述题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8EC92C9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30</w:t>
            </w:r>
          </w:p>
        </w:tc>
      </w:tr>
      <w:tr w:rsidR="00AE1576" w14:paraId="1A023876" w14:textId="77777777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12B4EB8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合计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577A503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100</w:t>
            </w:r>
          </w:p>
        </w:tc>
      </w:tr>
    </w:tbl>
    <w:p w14:paraId="623CCE92" w14:textId="77777777" w:rsidR="00AE1576" w:rsidRDefault="00924D59">
      <w:pPr>
        <w:pStyle w:val="a7"/>
        <w:widowControl/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注：以上是每次考试的总体性要求，每份考卷的具体分值分布可以略有偏差。</w:t>
      </w:r>
    </w:p>
    <w:p w14:paraId="51CDB0B9" w14:textId="77777777" w:rsidR="00AE1576" w:rsidRDefault="00AE1576">
      <w:pPr>
        <w:pStyle w:val="a7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14:paraId="5B018272" w14:textId="77777777" w:rsidR="00AE1576" w:rsidRDefault="00924D59">
      <w:pPr>
        <w:pStyle w:val="a7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四、考试内容和要求</w:t>
      </w:r>
    </w:p>
    <w:p w14:paraId="63F63610" w14:textId="77777777" w:rsidR="00AE1576" w:rsidRDefault="00AE1576">
      <w:pPr>
        <w:pStyle w:val="a7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tbl>
      <w:tblPr>
        <w:tblW w:w="85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4691"/>
        <w:gridCol w:w="1013"/>
      </w:tblGrid>
      <w:tr w:rsidR="00AE1576" w14:paraId="14F4FFDE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784FE2B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417A936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AC3648B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要求</w:t>
            </w:r>
          </w:p>
        </w:tc>
      </w:tr>
      <w:tr w:rsidR="00AE1576" w14:paraId="62033A01" w14:textId="77777777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608932F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1．需求、供给及均衡价格</w:t>
            </w:r>
          </w:p>
        </w:tc>
      </w:tr>
      <w:tr w:rsidR="00AE1576" w14:paraId="2AA75DA0" w14:textId="77777777">
        <w:trPr>
          <w:trHeight w:val="271"/>
        </w:trPr>
        <w:tc>
          <w:tcPr>
            <w:tcW w:w="28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0D52097" w14:textId="77777777" w:rsidR="00AE1576" w:rsidRDefault="00924D59">
            <w:pPr>
              <w:spacing w:line="288" w:lineRule="auto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（1）</w:t>
            </w:r>
            <w:r>
              <w:rPr>
                <w:rFonts w:ascii="微软雅黑" w:eastAsia="微软雅黑" w:hAnsi="微软雅黑" w:cs="微软雅黑"/>
                <w:kern w:val="0"/>
                <w:szCs w:val="21"/>
              </w:rPr>
              <w:t>需求理论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B500DBB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需求的定义，影响需求的因素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92BA6B6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5C6E2025" w14:textId="77777777">
        <w:trPr>
          <w:trHeight w:val="271"/>
        </w:trPr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1BF7DDE" w14:textId="77777777" w:rsidR="00AE1576" w:rsidRDefault="00AE1576">
            <w:pPr>
              <w:spacing w:line="288" w:lineRule="auto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A4C9712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1"/>
                <w:szCs w:val="21"/>
              </w:rPr>
              <w:t>需求函数、需求曲线、需求定理、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74C7D42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7495368F" w14:textId="77777777">
        <w:trPr>
          <w:trHeight w:val="570"/>
        </w:trPr>
        <w:tc>
          <w:tcPr>
            <w:tcW w:w="28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7D41D1D" w14:textId="77777777" w:rsidR="00AE1576" w:rsidRDefault="00924D59">
            <w:pPr>
              <w:spacing w:line="288" w:lineRule="auto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（2）</w:t>
            </w:r>
            <w:r>
              <w:rPr>
                <w:rFonts w:ascii="微软雅黑" w:eastAsia="微软雅黑" w:hAnsi="微软雅黑" w:cs="微软雅黑"/>
                <w:kern w:val="0"/>
                <w:szCs w:val="21"/>
              </w:rPr>
              <w:t xml:space="preserve">供给理论 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F6D83B3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1"/>
                <w:szCs w:val="21"/>
              </w:rPr>
              <w:t>供给的定义，影响供给的因素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76263A3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389C4D03" w14:textId="77777777">
        <w:trPr>
          <w:trHeight w:val="570"/>
        </w:trPr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B5AFDB1" w14:textId="77777777" w:rsidR="00AE1576" w:rsidRDefault="00AE1576">
            <w:pPr>
              <w:spacing w:line="288" w:lineRule="auto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CC33EF4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1"/>
                <w:szCs w:val="21"/>
              </w:rPr>
              <w:t>供给函数、供给曲线、供给定理、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952CD57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630057C1" w14:textId="77777777">
        <w:trPr>
          <w:trHeight w:val="570"/>
        </w:trPr>
        <w:tc>
          <w:tcPr>
            <w:tcW w:w="2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F432DBA" w14:textId="77777777" w:rsidR="00AE1576" w:rsidRDefault="00924D59">
            <w:pPr>
              <w:spacing w:line="288" w:lineRule="auto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（3）</w:t>
            </w:r>
            <w:r>
              <w:rPr>
                <w:rFonts w:ascii="微软雅黑" w:eastAsia="微软雅黑" w:hAnsi="微软雅黑" w:cs="微软雅黑"/>
                <w:kern w:val="0"/>
                <w:szCs w:val="21"/>
              </w:rPr>
              <w:t>市场均衡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F3E16E8" w14:textId="77777777" w:rsidR="00AE1576" w:rsidRDefault="00924D59">
            <w:pPr>
              <w:spacing w:line="288" w:lineRule="auto"/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市场均衡的决定及其变动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C01900E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508E7DF8" w14:textId="77777777">
        <w:trPr>
          <w:trHeight w:val="271"/>
        </w:trPr>
        <w:tc>
          <w:tcPr>
            <w:tcW w:w="28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F336BE5" w14:textId="77777777" w:rsidR="00AE1576" w:rsidRDefault="00924D59">
            <w:pPr>
              <w:spacing w:line="288" w:lineRule="auto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（4）</w:t>
            </w:r>
            <w:r>
              <w:rPr>
                <w:rFonts w:ascii="微软雅黑" w:eastAsia="微软雅黑" w:hAnsi="微软雅黑" w:cs="微软雅黑"/>
                <w:kern w:val="0"/>
                <w:szCs w:val="21"/>
              </w:rPr>
              <w:t>需求弹性与供给弹性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2BEEF6F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需求弹性的定义及计算、供给弹性的定义及计算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1F4347D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21030C32" w14:textId="77777777"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58375C7" w14:textId="77777777" w:rsidR="00AE1576" w:rsidRDefault="00AE1576">
            <w:pPr>
              <w:spacing w:line="288" w:lineRule="auto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F4A0F3D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1"/>
                <w:szCs w:val="21"/>
              </w:rPr>
              <w:t>需求弹和供给弹性分析厂商销售收入和价格的关系、税负的转嫁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737569F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3AA83358" w14:textId="77777777">
        <w:trPr>
          <w:trHeight w:val="837"/>
        </w:trPr>
        <w:tc>
          <w:tcPr>
            <w:tcW w:w="2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CF7AC84" w14:textId="77777777" w:rsidR="00AE1576" w:rsidRDefault="00924D59">
            <w:pPr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（5）需求、供给和均衡价格的运用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4A1E8F8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宋体"/>
                <w:color w:val="000000" w:themeColor="text1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1"/>
                <w:szCs w:val="21"/>
              </w:rPr>
              <w:t>运用市场均衡理论和弹性理论分析税收效应、支持价格和限制价格政策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2734198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189A334A" w14:textId="77777777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1C6899D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2．消费者选择</w:t>
            </w:r>
          </w:p>
        </w:tc>
      </w:tr>
      <w:tr w:rsidR="00AE1576" w14:paraId="09E0F1A0" w14:textId="77777777">
        <w:tc>
          <w:tcPr>
            <w:tcW w:w="28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EAE5CE5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（1）效用论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22EB42E" w14:textId="77777777" w:rsidR="00AE1576" w:rsidRDefault="00924D59">
            <w:pPr>
              <w:spacing w:line="288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效用</w:t>
            </w:r>
            <w:r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与边际效用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的定义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4C30D45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4AC6441C" w14:textId="77777777"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5A24DA3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E8916C6" w14:textId="77777777" w:rsidR="00AE1576" w:rsidRDefault="00924D59">
            <w:pPr>
              <w:spacing w:line="288" w:lineRule="auto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边际效用递减理论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C3B5204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20E21482" w14:textId="77777777"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32FCC26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BB7AFCF" w14:textId="77777777" w:rsidR="00AE1576" w:rsidRDefault="00924D59">
            <w:pPr>
              <w:spacing w:line="288" w:lineRule="auto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基数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效用论下和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序数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效用论下的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消费者均衡条件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0E08884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45874832" w14:textId="77777777">
        <w:tc>
          <w:tcPr>
            <w:tcW w:w="2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C398FED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（2）无差异曲线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75342A0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无差异曲线的含义及特点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02FD191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21BCFD31" w14:textId="77777777">
        <w:trPr>
          <w:trHeight w:val="741"/>
        </w:trPr>
        <w:tc>
          <w:tcPr>
            <w:tcW w:w="28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1E9798F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（3）效用最大化与消费者选择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4E9518C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预算线的含义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5EA1F3C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026402C3" w14:textId="77777777">
        <w:trPr>
          <w:trHeight w:val="555"/>
        </w:trPr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A4A03B6" w14:textId="77777777" w:rsidR="00AE1576" w:rsidRDefault="00AE1576">
            <w:pPr>
              <w:pStyle w:val="a7"/>
              <w:widowControl/>
              <w:spacing w:after="90" w:afterAutospacing="0" w:line="360" w:lineRule="exact"/>
              <w:ind w:firstLine="21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47D3ED3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无差异曲线和收入预算线消费者如何达到效用最大化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3DFF919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64C31576" w14:textId="77777777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1CA9BAD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3．生产和成本理论</w:t>
            </w:r>
          </w:p>
        </w:tc>
      </w:tr>
      <w:tr w:rsidR="00AE1576" w14:paraId="4FF47B87" w14:textId="77777777">
        <w:tc>
          <w:tcPr>
            <w:tcW w:w="28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B1B4A00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（1）生产技术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0F2BEB0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厂商、生产、</w:t>
            </w:r>
            <w:r>
              <w:rPr>
                <w:rFonts w:ascii="微软雅黑" w:eastAsia="微软雅黑" w:hAnsi="微软雅黑" w:hint="eastAsia"/>
                <w:color w:val="000000" w:themeColor="text1"/>
                <w:sz w:val="21"/>
                <w:szCs w:val="21"/>
              </w:rPr>
              <w:t>边际技术替代率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的基本概念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B8A33DE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7BF075FA" w14:textId="77777777"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133C680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A53223F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短期生产函数、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长期生产函数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255AD92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39734E0D" w14:textId="77777777">
        <w:trPr>
          <w:trHeight w:val="509"/>
        </w:trPr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2EB0403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D05BB3D" w14:textId="77777777" w:rsidR="00AE1576" w:rsidRDefault="00924D59">
            <w:pPr>
              <w:spacing w:line="288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运用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短期生产函数分析理性厂商的选择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FECC5F5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0AED83F5" w14:textId="77777777"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78620EB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FA982D5" w14:textId="77777777" w:rsidR="00AE1576" w:rsidRDefault="00924D59">
            <w:pPr>
              <w:spacing w:line="288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运用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长期生产函数分析生产要素的最优组合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50CE657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17DB3765" w14:textId="77777777">
        <w:tc>
          <w:tcPr>
            <w:tcW w:w="28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4EBF44B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（2）成本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B07B41D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成本的基本概念及分类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195B8B0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0567869B" w14:textId="77777777"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FE8D01E" w14:textId="77777777" w:rsidR="00AE1576" w:rsidRDefault="00AE1576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184F21B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等成本线、成本最小化、产量最大化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448BC2A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1E3A2616" w14:textId="77777777"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FA398A2" w14:textId="77777777" w:rsidR="00AE1576" w:rsidRDefault="00AE1576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223851F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sz w:val="21"/>
                <w:szCs w:val="21"/>
              </w:rPr>
              <w:t>综合等产量线和等成本线得到生产者均衡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7B6E348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4AFD747E" w14:textId="77777777"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7D3E72B" w14:textId="77777777" w:rsidR="00AE1576" w:rsidRDefault="00AE1576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75839E8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短期成本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的分类、长期成本的概念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EB25896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540AD0D1" w14:textId="77777777"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86AE54E" w14:textId="77777777" w:rsidR="00AE1576" w:rsidRDefault="00AE1576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7EBD1E1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短期成本曲线之间的关系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CDF77FB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094274AA" w14:textId="77777777">
        <w:trPr>
          <w:trHeight w:val="90"/>
        </w:trPr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DF9CCD9" w14:textId="77777777" w:rsidR="00AE1576" w:rsidRDefault="00AE1576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3348264" w14:textId="77777777" w:rsidR="00AE1576" w:rsidRDefault="00924D59">
            <w:pPr>
              <w:spacing w:line="288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规模经济和长期平均成本曲线的形状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07AFCD7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01BE5BA2" w14:textId="77777777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58245D8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lastRenderedPageBreak/>
              <w:t>4．完全竞争市场</w:t>
            </w:r>
          </w:p>
        </w:tc>
      </w:tr>
      <w:tr w:rsidR="00AE1576" w14:paraId="6BF6F31B" w14:textId="77777777">
        <w:tc>
          <w:tcPr>
            <w:tcW w:w="2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ECDFDB6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（1）厂商和市场的类型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F8B213C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市场的类型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786DDC7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4225B041" w14:textId="77777777">
        <w:tc>
          <w:tcPr>
            <w:tcW w:w="28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BD94E83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（2）利润最大化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AA5F398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完全竞争市场的条件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B7EFFBD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3BB06554" w14:textId="77777777"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AE7891A" w14:textId="77777777" w:rsidR="00AE1576" w:rsidRDefault="00AE1576">
            <w:pPr>
              <w:pStyle w:val="a7"/>
              <w:widowControl/>
              <w:spacing w:after="90" w:afterAutospacing="0" w:line="360" w:lineRule="exact"/>
              <w:ind w:firstLine="15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F837BF7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完全竞争厂商的需求曲线和收益曲线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237A48C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6313F23A" w14:textId="77777777"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92C1284" w14:textId="77777777" w:rsidR="00AE1576" w:rsidRDefault="00AE1576">
            <w:pPr>
              <w:pStyle w:val="a7"/>
              <w:widowControl/>
              <w:spacing w:after="90" w:afterAutospacing="0" w:line="360" w:lineRule="exact"/>
              <w:ind w:firstLine="15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ACF4B57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完全竞争厂商实现利润最大化的均衡原则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D8A05F8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21D2E081" w14:textId="77777777">
        <w:tc>
          <w:tcPr>
            <w:tcW w:w="2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F409415" w14:textId="77777777" w:rsidR="00AE1576" w:rsidRDefault="00924D59">
            <w:pPr>
              <w:pStyle w:val="a7"/>
              <w:widowControl/>
              <w:spacing w:after="90" w:afterAutospacing="0" w:line="360" w:lineRule="exact"/>
              <w:ind w:firstLine="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（3）完全竞争市场短期均衡和长期均衡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B7DAA84" w14:textId="77777777" w:rsidR="00AE1576" w:rsidRDefault="00924D59">
            <w:pPr>
              <w:pStyle w:val="a7"/>
              <w:widowControl/>
              <w:spacing w:after="9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完全竞争市场短期均衡条件和完全竞争市场长期均衡条件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F036F54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176E05CB" w14:textId="77777777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1FB796D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5．不完全竞争的市场</w:t>
            </w:r>
          </w:p>
        </w:tc>
      </w:tr>
      <w:tr w:rsidR="00AE1576" w14:paraId="40F10837" w14:textId="77777777">
        <w:tc>
          <w:tcPr>
            <w:tcW w:w="28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2E10340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（1）垄断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D46AB88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垄断市场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条件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B2F4EDB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67930B9F" w14:textId="77777777"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9D50BF4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D389802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垄断厂商的需求曲线、收益曲线、供给曲线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F2C750A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28338CC0" w14:textId="77777777"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F31D0DF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526A307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垄断市场的短期均衡与长期均衡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648F6DF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4DE9CAD2" w14:textId="77777777"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CAB5D04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51C564B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垄断厂商的价格歧视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B274E0B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38A9512B" w14:textId="77777777">
        <w:trPr>
          <w:trHeight w:val="301"/>
        </w:trPr>
        <w:tc>
          <w:tcPr>
            <w:tcW w:w="28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D16B76D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（2）垄断竞争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B87A1F9" w14:textId="77777777" w:rsidR="00AE1576" w:rsidRDefault="00924D59">
            <w:pPr>
              <w:spacing w:line="288" w:lineRule="auto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/>
                <w:kern w:val="0"/>
                <w:szCs w:val="21"/>
              </w:rPr>
              <w:t>垄断竞争市场</w:t>
            </w:r>
            <w:r>
              <w:rPr>
                <w:rFonts w:ascii="微软雅黑" w:eastAsia="微软雅黑" w:hAnsi="微软雅黑" w:hint="eastAsia"/>
                <w:kern w:val="0"/>
                <w:szCs w:val="21"/>
              </w:rPr>
              <w:t>的条件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D5D8AF9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7E94DBBA" w14:textId="77777777">
        <w:trPr>
          <w:trHeight w:val="301"/>
        </w:trPr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29BA8E0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8AA7371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垄断竞争厂商的需求曲线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E1B7643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412CA2F9" w14:textId="77777777"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FBE6449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61A05C8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垄断竞争市场的短期均衡与长期均衡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F5CAB84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10408C92" w14:textId="77777777"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874F0E3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94A2AC6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非价格竞争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D57E6DD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690108B4" w14:textId="77777777">
        <w:tc>
          <w:tcPr>
            <w:tcW w:w="2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75D802D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（3）寡头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90B0E98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寡头市场的特征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83BCBAA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5560FFE6" w14:textId="77777777">
        <w:trPr>
          <w:trHeight w:val="447"/>
        </w:trPr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7B7DA53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33F8270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古诺模型</w:t>
            </w:r>
            <w:proofErr w:type="gramEnd"/>
            <w:r>
              <w:rPr>
                <w:rFonts w:ascii="微软雅黑" w:eastAsia="微软雅黑" w:hAnsi="微软雅黑" w:hint="eastAsia"/>
                <w:sz w:val="21"/>
                <w:szCs w:val="21"/>
              </w:rPr>
              <w:t>、斯塔克伯格模型、价格领导模型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67BC5D4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4DB31155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5460901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（4）不同市场的比较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AD414CC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不同市场的比较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52EC11B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261941C8" w14:textId="77777777"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9ACD2A0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6. 生产要素价格的决定</w:t>
            </w:r>
          </w:p>
        </w:tc>
      </w:tr>
      <w:tr w:rsidR="00AE1576" w14:paraId="189648BC" w14:textId="77777777">
        <w:tc>
          <w:tcPr>
            <w:tcW w:w="2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1FD6096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（1）要素需求和供给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06F268B" w14:textId="77777777" w:rsidR="00AE1576" w:rsidRDefault="00924D59">
            <w:pPr>
              <w:spacing w:line="288" w:lineRule="auto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完全竞争厂商使用生产要素的原则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3268A59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66731820" w14:textId="77777777"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87103F3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2B16F34" w14:textId="77777777" w:rsidR="00AE1576" w:rsidRDefault="00924D59">
            <w:pPr>
              <w:spacing w:line="288" w:lineRule="auto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要素市场</w:t>
            </w:r>
            <w:r>
              <w:rPr>
                <w:rFonts w:ascii="微软雅黑" w:eastAsia="微软雅黑" w:hAnsi="微软雅黑" w:hint="eastAsia"/>
                <w:szCs w:val="21"/>
              </w:rPr>
              <w:t>的需求与供给</w:t>
            </w:r>
            <w:r>
              <w:rPr>
                <w:rFonts w:ascii="微软雅黑" w:eastAsia="微软雅黑" w:hAnsi="微软雅黑"/>
                <w:szCs w:val="21"/>
              </w:rPr>
              <w:t>一般原理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C03BCE9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1600A5D2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8718087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（2）劳动要素和土地要素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55CB360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工资的决定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地租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的决定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05A5F24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6A3CB12D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1E6368B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（3）</w:t>
            </w:r>
            <w:proofErr w:type="gram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洛</w:t>
            </w:r>
            <w:proofErr w:type="gramEnd"/>
            <w:r>
              <w:rPr>
                <w:rFonts w:ascii="微软雅黑" w:eastAsia="微软雅黑" w:hAnsi="微软雅黑" w:hint="eastAsia"/>
                <w:sz w:val="21"/>
                <w:szCs w:val="21"/>
              </w:rPr>
              <w:t>伦兹曲线和</w:t>
            </w:r>
            <w:proofErr w:type="gram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基尼</w:t>
            </w:r>
            <w:proofErr w:type="gramEnd"/>
            <w:r>
              <w:rPr>
                <w:rFonts w:ascii="微软雅黑" w:eastAsia="微软雅黑" w:hAnsi="微软雅黑" w:hint="eastAsia"/>
                <w:sz w:val="21"/>
                <w:szCs w:val="21"/>
              </w:rPr>
              <w:t>系数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7C73062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洛</w:t>
            </w:r>
            <w:proofErr w:type="gramEnd"/>
            <w:r>
              <w:rPr>
                <w:rFonts w:ascii="微软雅黑" w:eastAsia="微软雅黑" w:hAnsi="微软雅黑" w:hint="eastAsia"/>
                <w:sz w:val="21"/>
                <w:szCs w:val="21"/>
              </w:rPr>
              <w:t>伦兹曲线和</w:t>
            </w:r>
            <w:proofErr w:type="gram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基尼</w:t>
            </w:r>
            <w:proofErr w:type="gramEnd"/>
            <w:r>
              <w:rPr>
                <w:rFonts w:ascii="微软雅黑" w:eastAsia="微软雅黑" w:hAnsi="微软雅黑" w:hint="eastAsia"/>
                <w:sz w:val="21"/>
                <w:szCs w:val="21"/>
              </w:rPr>
              <w:t>系数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F982127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27266E46" w14:textId="77777777"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5660DA6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9. 宏观经济的基本指标及其衡量</w:t>
            </w:r>
          </w:p>
        </w:tc>
      </w:tr>
      <w:tr w:rsidR="00AE1576" w14:paraId="4F5583EB" w14:textId="77777777">
        <w:tc>
          <w:tcPr>
            <w:tcW w:w="2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8614C86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（1）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国内生产总值及其核算方法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7C16309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GDP的定义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1010624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583FAE3D" w14:textId="77777777"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EB2BD7E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A1C4C8F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支出法、收入法核算GDP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AB1F639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06E47A00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E0C4995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（2）国民收入的其他衡量指标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86F906D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NDP、NI、PI、DPI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B048162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069EFB57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6290CF9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</w:rPr>
              <w:t>（3）国民收入的基本公式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FE35E0F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</w:rPr>
              <w:t>国民收入恒等式及核算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09C48BC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3C1237B7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C1CDE13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</w:rPr>
              <w:t>（4）价格水平及其衡量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A8036FC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</w:rPr>
              <w:t>GDP平减指数、CPI、通货膨胀、名义GDP与实际GDP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3CA1EF3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674FD5FB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1F04B23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</w:rPr>
              <w:t>（5）失业及其衡量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A7F4786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</w:rPr>
              <w:t>失业率、就业率、劳动力参与率</w:t>
            </w:r>
          </w:p>
          <w:p w14:paraId="1FE78FF0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</w:rPr>
              <w:t>失业类型：周期性失业、摩擦性失业、结构性失业、自然失业率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1899CC4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184CA096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CD0E2A9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</w:rPr>
              <w:t>（6）宏观经济问题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4945D7C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</w:rPr>
              <w:t>失业、通货膨胀、滞涨、经济增长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AD3540E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了解</w:t>
            </w:r>
          </w:p>
        </w:tc>
      </w:tr>
      <w:tr w:rsidR="00AE1576" w14:paraId="3A6EC109" w14:textId="77777777"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EB96BF0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 xml:space="preserve">10. 国民收入决定理论：收入支出模型 </w:t>
            </w:r>
          </w:p>
        </w:tc>
      </w:tr>
      <w:tr w:rsidR="00AE1576" w14:paraId="5D89633F" w14:textId="77777777">
        <w:tc>
          <w:tcPr>
            <w:tcW w:w="2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5F050DC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（1）均衡产出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F5AD28D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均衡国民收入或均衡产出概念</w:t>
            </w:r>
          </w:p>
          <w:p w14:paraId="4A4C41C4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有效需求原理及框架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A83CE2C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5F249FF5" w14:textId="77777777"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AB14BFD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EBD1C85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投资等于储蓄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7FC2502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3F2D9C68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B1958DE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（2）</w:t>
            </w:r>
            <w:proofErr w:type="gram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凯</w:t>
            </w:r>
            <w:proofErr w:type="gramEnd"/>
            <w:r>
              <w:rPr>
                <w:rFonts w:ascii="微软雅黑" w:eastAsia="微软雅黑" w:hAnsi="微软雅黑" w:hint="eastAsia"/>
                <w:sz w:val="21"/>
                <w:szCs w:val="21"/>
              </w:rPr>
              <w:t>恩斯消费函数理论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672EE7A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消费函数、储蓄函数、消费函数和储蓄函数的关系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2339024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104A482E" w14:textId="77777777">
        <w:tc>
          <w:tcPr>
            <w:tcW w:w="2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3D607D7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（3）</w:t>
            </w:r>
            <w:r>
              <w:rPr>
                <w:rFonts w:ascii="微软雅黑" w:eastAsia="微软雅黑" w:hAnsi="微软雅黑"/>
                <w:color w:val="000000"/>
                <w:sz w:val="21"/>
                <w:szCs w:val="21"/>
              </w:rPr>
              <w:t>国民收入的决定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和</w:t>
            </w:r>
            <w:r>
              <w:rPr>
                <w:rFonts w:ascii="微软雅黑" w:eastAsia="微软雅黑" w:hAnsi="微软雅黑"/>
                <w:color w:val="000000"/>
                <w:sz w:val="21"/>
                <w:szCs w:val="21"/>
              </w:rPr>
              <w:t>乘数论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4F79693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两部门经济中国民收入的决定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9586C94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2B5C2EC0" w14:textId="77777777"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CBFBB18" w14:textId="77777777" w:rsidR="00AE1576" w:rsidRDefault="00AE1576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2794BE8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三部门济中国民收入的决定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261C1FE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69CFD292" w14:textId="77777777"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A7A50CC" w14:textId="77777777" w:rsidR="00AE1576" w:rsidRDefault="00AE1576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17A5BCF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四部门经济中国民收入的决定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E20C26F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2CF790B7" w14:textId="77777777"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4CE185C" w14:textId="77777777" w:rsidR="00AE1576" w:rsidRDefault="00AE1576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1895BC9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kern w:val="0"/>
                <w:szCs w:val="21"/>
              </w:rPr>
              <w:t>投资乘数原理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D930A1C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67C3A2F1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0778D54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（4）其他消费理论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575A8FA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相对收入假说、恒久收入假说、生命周期假说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DE07A61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了解</w:t>
            </w:r>
          </w:p>
        </w:tc>
      </w:tr>
      <w:tr w:rsidR="00AE1576" w14:paraId="5D6A98BA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74EF13C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（5）凯恩斯投资理论等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A89640A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投资函数、投资影响因素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3CF93EC" w14:textId="77777777" w:rsidR="00AE1576" w:rsidRDefault="00924D59">
            <w:pPr>
              <w:pStyle w:val="a7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掌握</w:t>
            </w:r>
          </w:p>
        </w:tc>
      </w:tr>
      <w:tr w:rsidR="00AE1576" w14:paraId="7AD651D1" w14:textId="77777777"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D720929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 xml:space="preserve">11. 国民收入决定：IS-LM模型  </w:t>
            </w:r>
          </w:p>
        </w:tc>
      </w:tr>
      <w:tr w:rsidR="00AE1576" w14:paraId="4EAD3C56" w14:textId="77777777">
        <w:tc>
          <w:tcPr>
            <w:tcW w:w="2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B0DBCA9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（1）凯恩斯货币需求理论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90B4B14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货币需求理论（流动偏好理论）</w:t>
            </w:r>
            <w:r>
              <w:rPr>
                <w:rFonts w:ascii="微软雅黑" w:eastAsia="微软雅黑" w:hAnsi="微软雅黑"/>
                <w:kern w:val="0"/>
                <w:szCs w:val="21"/>
              </w:rPr>
              <w:t>；</w:t>
            </w:r>
            <w:r>
              <w:rPr>
                <w:rFonts w:ascii="微软雅黑" w:eastAsia="微软雅黑" w:hAnsi="微软雅黑" w:hint="eastAsia"/>
                <w:kern w:val="0"/>
                <w:szCs w:val="21"/>
              </w:rPr>
              <w:t>流动性陷阱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14C1422" w14:textId="77777777" w:rsidR="00AE1576" w:rsidRDefault="00924D59">
            <w:pPr>
              <w:widowControl/>
              <w:spacing w:after="90"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掌握</w:t>
            </w:r>
          </w:p>
        </w:tc>
      </w:tr>
      <w:tr w:rsidR="00AE1576" w14:paraId="22B03FF6" w14:textId="77777777"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6F07CDE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2F33162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货币需求方程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6BA432F" w14:textId="77777777" w:rsidR="00AE1576" w:rsidRDefault="00924D59">
            <w:pPr>
              <w:widowControl/>
              <w:spacing w:after="90"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掌握</w:t>
            </w:r>
          </w:p>
        </w:tc>
      </w:tr>
      <w:tr w:rsidR="00AE1576" w14:paraId="227DCCAA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E928AB2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（2）IS曲线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6DFAFB2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IS曲线推导、斜率和移动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E64221F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3F605BAC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F216196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（3）LM曲线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EA98A70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LM曲线推导、斜率和移动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930C773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222E1B49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EA9A79A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（4）IS－LM理论模型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D8FC224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IS－LM的均衡的利率和收入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F17E162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5B2EB369" w14:textId="77777777">
        <w:tc>
          <w:tcPr>
            <w:tcW w:w="2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DD97936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B0C0792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均衡收入和利率的变动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78B6F04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53D85DF1" w14:textId="77777777"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9A59D82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1986050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失衡、四个区域特点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DB3BFF7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47658C8A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E98C004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（6）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凯恩斯的基本理论框架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50B2EA6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kern w:val="0"/>
                <w:szCs w:val="21"/>
              </w:rPr>
              <w:t>凯恩斯的基本理论框架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9095DF1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6C08330C" w14:textId="77777777"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DCD677F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12. 国民收入决定：AD-AS模型</w:t>
            </w:r>
          </w:p>
        </w:tc>
      </w:tr>
      <w:tr w:rsidR="00AE1576" w14:paraId="40F0A721" w14:textId="77777777">
        <w:tc>
          <w:tcPr>
            <w:tcW w:w="2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19B513E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（1）AD曲线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E8870FF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kern w:val="0"/>
                <w:szCs w:val="21"/>
              </w:rPr>
              <w:t>总需求曲线的基本形状与基本含义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363A654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7B946778" w14:textId="77777777"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B4862D2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303F737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总需求曲线的推导和移动、影响因素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A2FEC98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4EE0AB20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7526826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（2）AS曲线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F722F86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三种总供给曲线、AS曲线变动和影响因素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A9630F2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359A78E9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C11C418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（3）AD-AS模型应用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09C7B8C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对外来冲击的反应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E3C97DB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AE1576" w14:paraId="3BF8ECA4" w14:textId="77777777"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21D6002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13. 失业与通货膨胀、经济周期</w:t>
            </w:r>
          </w:p>
        </w:tc>
      </w:tr>
      <w:tr w:rsidR="00AE1576" w14:paraId="43F4E8EA" w14:textId="77777777">
        <w:tc>
          <w:tcPr>
            <w:tcW w:w="2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79B2718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（1）失业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637BA8D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kern w:val="0"/>
                <w:szCs w:val="21"/>
              </w:rPr>
              <w:t>失业的</w:t>
            </w:r>
            <w:r>
              <w:rPr>
                <w:rFonts w:ascii="微软雅黑" w:eastAsia="微软雅黑" w:hAnsi="微软雅黑" w:hint="eastAsia"/>
                <w:kern w:val="0"/>
                <w:szCs w:val="21"/>
              </w:rPr>
              <w:t>宏观经济学解释（古典经济学、凯恩斯、新凯恩斯主义经济学、现代货币主义）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2FCB692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4D8FEE5B" w14:textId="77777777"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59825BC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8EC7722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kern w:val="0"/>
                <w:szCs w:val="21"/>
              </w:rPr>
              <w:t>奥肯定律</w:t>
            </w:r>
            <w:proofErr w:type="gramEnd"/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2A34B64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0357171A" w14:textId="77777777">
        <w:tc>
          <w:tcPr>
            <w:tcW w:w="2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5B7E74A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（2）通货膨胀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B30BE47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kern w:val="0"/>
                <w:szCs w:val="21"/>
              </w:rPr>
              <w:t>通货膨胀的类型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8006CB4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2660D0B0" w14:textId="77777777"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F1DEE87" w14:textId="77777777" w:rsidR="00AE1576" w:rsidRDefault="00AE1576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A547FB7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kern w:val="0"/>
                <w:szCs w:val="21"/>
              </w:rPr>
              <w:t>通货膨胀的形成原因、经济效应和反通货膨胀的对策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6B4850C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71E6188A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B32B3AC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（3）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菲利普斯曲线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323AF1E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kern w:val="0"/>
                <w:szCs w:val="21"/>
              </w:rPr>
              <w:t>菲利普斯曲线</w:t>
            </w:r>
            <w:r>
              <w:rPr>
                <w:rFonts w:ascii="微软雅黑" w:eastAsia="微软雅黑" w:hAnsi="微软雅黑" w:hint="eastAsia"/>
                <w:kern w:val="0"/>
                <w:szCs w:val="21"/>
              </w:rPr>
              <w:t>的提出及</w:t>
            </w:r>
            <w:r>
              <w:rPr>
                <w:rFonts w:ascii="微软雅黑" w:eastAsia="微软雅黑" w:hAnsi="微软雅黑"/>
                <w:kern w:val="0"/>
                <w:szCs w:val="21"/>
              </w:rPr>
              <w:t>政策含义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B01DF73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4B7B8C36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3485734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（4）通货紧缩和滞涨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9461D1D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通货紧缩定义、滞涨原因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1D7B65C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069C66A9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DBED493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（5）经济周期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CEDFDE4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定义、阶段、类型、经济周期理论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13202A5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了解</w:t>
            </w:r>
          </w:p>
        </w:tc>
      </w:tr>
      <w:tr w:rsidR="00AE1576" w14:paraId="5F839A9B" w14:textId="77777777"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91B1865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14.开放条件下的宏观经济</w:t>
            </w:r>
          </w:p>
        </w:tc>
      </w:tr>
      <w:tr w:rsidR="00AE1576" w14:paraId="381A540F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6CF03D3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（1）国际收支及汇率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ED2957C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汇率及制度、国际收支平衡、BP曲线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FBD9C19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了解</w:t>
            </w:r>
          </w:p>
        </w:tc>
      </w:tr>
      <w:tr w:rsidR="00AE1576" w14:paraId="6DEB77E8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5178948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（2）蒙代尔-</w:t>
            </w:r>
            <w:proofErr w:type="gram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弗莱</w:t>
            </w:r>
            <w:proofErr w:type="gramEnd"/>
            <w:r>
              <w:rPr>
                <w:rFonts w:ascii="微软雅黑" w:eastAsia="微软雅黑" w:hAnsi="微软雅黑" w:hint="eastAsia"/>
                <w:sz w:val="21"/>
                <w:szCs w:val="21"/>
              </w:rPr>
              <w:t>明模型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2FA7415" w14:textId="77777777" w:rsidR="00AE1576" w:rsidRDefault="00AE1576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D443D2A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了解</w:t>
            </w:r>
          </w:p>
        </w:tc>
      </w:tr>
      <w:tr w:rsidR="00AE1576" w14:paraId="15A62A0D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D63DEA9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（3）固定汇率、浮动汇率下的政策效果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B62026F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小国开放下的政策效果、三元悖论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A046511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了解</w:t>
            </w:r>
          </w:p>
        </w:tc>
      </w:tr>
      <w:tr w:rsidR="00AE1576" w14:paraId="1E16831E" w14:textId="77777777"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2A7E55A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15. 宏观经济政策</w:t>
            </w:r>
          </w:p>
        </w:tc>
      </w:tr>
      <w:tr w:rsidR="00AE1576" w14:paraId="47CF71D9" w14:textId="77777777">
        <w:trPr>
          <w:trHeight w:val="65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0B0CC12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（1）</w:t>
            </w:r>
            <w:r>
              <w:rPr>
                <w:rFonts w:ascii="微软雅黑" w:eastAsia="微软雅黑" w:hAnsi="微软雅黑"/>
                <w:kern w:val="0"/>
                <w:szCs w:val="21"/>
              </w:rPr>
              <w:t>宏观经济政策目标及影响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991B4E3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宏观经济政策目标及作用和影响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5D56D50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7B6D5AC0" w14:textId="77777777">
        <w:trPr>
          <w:trHeight w:val="65"/>
        </w:trPr>
        <w:tc>
          <w:tcPr>
            <w:tcW w:w="2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C4F7F39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</w:t>
            </w:r>
            <w:r>
              <w:rPr>
                <w:rFonts w:ascii="微软雅黑" w:eastAsia="微软雅黑" w:hAnsi="微软雅黑"/>
                <w:kern w:val="0"/>
                <w:szCs w:val="21"/>
              </w:rPr>
              <w:t>财政政策及效果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0D0B568" w14:textId="77777777" w:rsidR="00AE1576" w:rsidRDefault="00924D59">
            <w:pPr>
              <w:spacing w:line="288" w:lineRule="auto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财政政策及其工具、效应的IS-LM模型分析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1CC0876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2E56103E" w14:textId="77777777">
        <w:trPr>
          <w:trHeight w:val="65"/>
        </w:trPr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D3F6752" w14:textId="77777777" w:rsidR="00AE1576" w:rsidRDefault="00AE1576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46B7A18" w14:textId="77777777" w:rsidR="00AE1576" w:rsidRDefault="00924D59">
            <w:pPr>
              <w:spacing w:line="288" w:lineRule="auto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功能财政思想和自动稳定器的作用原理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A37EB98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17A61BA6" w14:textId="77777777">
        <w:trPr>
          <w:trHeight w:val="65"/>
        </w:trPr>
        <w:tc>
          <w:tcPr>
            <w:tcW w:w="2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6B9F530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（3）</w:t>
            </w:r>
            <w:r>
              <w:rPr>
                <w:rFonts w:ascii="微软雅黑" w:eastAsia="微软雅黑" w:hAnsi="微软雅黑" w:hint="eastAsia"/>
                <w:kern w:val="0"/>
                <w:szCs w:val="21"/>
              </w:rPr>
              <w:t>货币政策及其工具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700040A" w14:textId="77777777" w:rsidR="00AE1576" w:rsidRDefault="00924D59">
            <w:pPr>
              <w:spacing w:line="288" w:lineRule="auto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商业银行、中央银行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6A79FB0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0A12AA65" w14:textId="77777777">
        <w:trPr>
          <w:trHeight w:val="65"/>
        </w:trPr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A7F7AC2" w14:textId="77777777" w:rsidR="00AE1576" w:rsidRDefault="00AE1576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7953AF1" w14:textId="77777777" w:rsidR="00AE1576" w:rsidRDefault="00924D59">
            <w:pPr>
              <w:spacing w:line="288" w:lineRule="auto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存款创造和货币供给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30320EA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AE1576" w14:paraId="55772734" w14:textId="77777777"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91FA210" w14:textId="77777777" w:rsidR="00AE1576" w:rsidRDefault="00AE1576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D98EA39" w14:textId="77777777" w:rsidR="00AE1576" w:rsidRDefault="00924D59">
            <w:pPr>
              <w:spacing w:line="288" w:lineRule="auto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货币政策及其工具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E5E5F35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061217C9" w14:textId="77777777"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727E382" w14:textId="77777777" w:rsidR="00AE1576" w:rsidRDefault="00AE1576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04FE877" w14:textId="77777777" w:rsidR="00AE1576" w:rsidRDefault="00924D59">
            <w:pPr>
              <w:spacing w:line="288" w:lineRule="auto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货币政策效果的IS-LM图形分析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495E8D6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AE1576" w14:paraId="01FF0031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F273CC7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（4）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两种政策的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局限性及协调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F53986E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/>
                <w:kern w:val="0"/>
                <w:szCs w:val="21"/>
              </w:rPr>
              <w:t>两种政策的</w:t>
            </w:r>
            <w:r>
              <w:rPr>
                <w:rFonts w:ascii="微软雅黑" w:eastAsia="微软雅黑" w:hAnsi="微软雅黑" w:hint="eastAsia"/>
                <w:kern w:val="0"/>
                <w:szCs w:val="21"/>
              </w:rPr>
              <w:t>局限性、协调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50B6A6F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AE1576" w14:paraId="5A6DE43F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EB6FF70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（5）供给管理政策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D7248E7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人力政策、收入政策、指数化政策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4638EE5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了解</w:t>
            </w:r>
          </w:p>
        </w:tc>
      </w:tr>
      <w:tr w:rsidR="00AE1576" w14:paraId="7FC26CC3" w14:textId="77777777"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4DA24CC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16.经济增长</w:t>
            </w:r>
          </w:p>
        </w:tc>
      </w:tr>
      <w:tr w:rsidR="00AE1576" w14:paraId="2B2EFE68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0D3800E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（1）经济增长概念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CE485CF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经济增长率计算、增长核算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5EE1F2E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了解</w:t>
            </w:r>
          </w:p>
        </w:tc>
      </w:tr>
      <w:tr w:rsidR="00AE1576" w14:paraId="6510F850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4E29554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（2）经济增长的决定因素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3877E2C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直接原因和根本原因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00042D7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了解</w:t>
            </w:r>
          </w:p>
        </w:tc>
      </w:tr>
      <w:tr w:rsidR="00AE1576" w14:paraId="5DB10297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712F678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（3）新古典增长模型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D863888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无技术进步、有技术进步的稳态增长、重要结论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1337233" w14:textId="77777777" w:rsidR="00AE1576" w:rsidRDefault="00924D59">
            <w:pPr>
              <w:widowControl/>
              <w:spacing w:after="90"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了解</w:t>
            </w:r>
          </w:p>
        </w:tc>
      </w:tr>
      <w:tr w:rsidR="00AE1576" w14:paraId="693298DD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ABD42A1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（4）内</w:t>
            </w:r>
            <w:proofErr w:type="gram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生增长</w:t>
            </w:r>
            <w:proofErr w:type="gramEnd"/>
            <w:r>
              <w:rPr>
                <w:rFonts w:ascii="微软雅黑" w:eastAsia="微软雅黑" w:hAnsi="微软雅黑" w:hint="eastAsia"/>
                <w:sz w:val="21"/>
                <w:szCs w:val="21"/>
              </w:rPr>
              <w:t>理论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9B20A47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重要结论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E41464C" w14:textId="77777777" w:rsidR="00AE1576" w:rsidRDefault="00924D59">
            <w:pPr>
              <w:widowControl/>
              <w:spacing w:after="90"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了解</w:t>
            </w:r>
          </w:p>
        </w:tc>
      </w:tr>
      <w:tr w:rsidR="00AE1576" w14:paraId="69BCE912" w14:textId="77777777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51F4C85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（5）促进经济增长政策</w:t>
            </w:r>
          </w:p>
        </w:tc>
        <w:tc>
          <w:tcPr>
            <w:tcW w:w="4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CC77C49" w14:textId="77777777" w:rsidR="00AE1576" w:rsidRDefault="00924D59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四个重要途径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BF7BA8F" w14:textId="77777777" w:rsidR="00AE1576" w:rsidRDefault="00924D59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</w:tbl>
    <w:p w14:paraId="0F4651C0" w14:textId="77777777" w:rsidR="00AE1576" w:rsidRDefault="00AE1576">
      <w:pPr>
        <w:pStyle w:val="a7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14:paraId="17BAF00B" w14:textId="77777777" w:rsidR="00AE1576" w:rsidRDefault="00924D59">
      <w:pPr>
        <w:pStyle w:val="a7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 xml:space="preserve">五、参考教材  </w:t>
      </w:r>
    </w:p>
    <w:p w14:paraId="79979FCC" w14:textId="77777777" w:rsidR="00AE1576" w:rsidRDefault="00924D59">
      <w:pPr>
        <w:pStyle w:val="a7"/>
        <w:widowControl/>
        <w:shd w:val="clear" w:color="auto" w:fill="FFFFFF"/>
        <w:spacing w:line="360" w:lineRule="exact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shd w:val="clear" w:color="auto" w:fill="FFFFFF"/>
        </w:rPr>
        <w:t>西方经济学（上册）（第二版），《西方经济学》编写组主编，高等教育出版社、人民出版社，2019年9月</w:t>
      </w:r>
    </w:p>
    <w:p w14:paraId="48DA5217" w14:textId="53818C7E" w:rsidR="00AE1576" w:rsidRDefault="00924D59">
      <w:pPr>
        <w:pStyle w:val="a7"/>
        <w:widowControl/>
        <w:shd w:val="clear" w:color="auto" w:fill="FFFFFF"/>
        <w:spacing w:line="360" w:lineRule="exact"/>
        <w:rPr>
          <w:rFonts w:ascii="微软雅黑" w:eastAsia="微软雅黑" w:hAnsi="微软雅黑" w:cs="微软雅黑"/>
          <w:color w:val="000000" w:themeColor="text1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shd w:val="clear" w:color="auto" w:fill="FFFFFF"/>
        </w:rPr>
        <w:t>西方经济学（下册）（第二版），《西方经济学》编写组主编，高等教育出版社、人民出版社，2019年9月</w:t>
      </w:r>
    </w:p>
    <w:p w14:paraId="2BF78EEC" w14:textId="5332C2B5" w:rsidR="009657C1" w:rsidRDefault="009657C1">
      <w:pPr>
        <w:pStyle w:val="a7"/>
        <w:widowControl/>
        <w:shd w:val="clear" w:color="auto" w:fill="FFFFFF"/>
        <w:spacing w:line="360" w:lineRule="exact"/>
        <w:rPr>
          <w:rFonts w:ascii="微软雅黑" w:eastAsia="微软雅黑" w:hAnsi="微软雅黑" w:cs="微软雅黑"/>
          <w:color w:val="000000" w:themeColor="text1"/>
          <w:sz w:val="21"/>
          <w:szCs w:val="21"/>
          <w:shd w:val="clear" w:color="auto" w:fill="FFFFFF"/>
        </w:rPr>
      </w:pPr>
    </w:p>
    <w:p w14:paraId="5D6484D3" w14:textId="1C90D51A" w:rsidR="009657C1" w:rsidRPr="009657C1" w:rsidRDefault="009657C1" w:rsidP="009657C1">
      <w:pPr>
        <w:pStyle w:val="a7"/>
        <w:widowControl/>
        <w:shd w:val="clear" w:color="auto" w:fill="FFFFFF"/>
        <w:spacing w:before="100" w:after="100" w:line="6560" w:lineRule="exact"/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</w:pPr>
      <w:r w:rsidRPr="009657C1">
        <w:rPr>
          <w:rFonts w:ascii="微软雅黑" w:eastAsia="微软雅黑" w:hAnsi="微软雅黑" w:cs="微软雅黑"/>
          <w:noProof/>
          <w:color w:val="000000" w:themeColor="text1"/>
          <w:sz w:val="21"/>
          <w:szCs w:val="21"/>
        </w:rPr>
        <w:lastRenderedPageBreak/>
        <w:drawing>
          <wp:inline distT="0" distB="0" distL="0" distR="0" wp14:anchorId="7B4C1484" wp14:editId="3BFDA1BB">
            <wp:extent cx="2506987" cy="3184901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80" cy="320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D1FDB" w14:textId="2C70A8BA" w:rsidR="009657C1" w:rsidRDefault="009657C1" w:rsidP="009657C1">
      <w:pPr>
        <w:pStyle w:val="a7"/>
        <w:widowControl/>
        <w:shd w:val="clear" w:color="auto" w:fill="FFFFFF"/>
        <w:spacing w:before="100" w:after="90" w:afterAutospacing="0" w:line="6560" w:lineRule="exact"/>
        <w:rPr>
          <w:rFonts w:ascii="微软雅黑" w:eastAsia="微软雅黑" w:hAnsi="微软雅黑" w:cs="微软雅黑" w:hint="eastAsia"/>
          <w:szCs w:val="21"/>
        </w:rPr>
      </w:pPr>
      <w:r w:rsidRPr="009657C1">
        <w:rPr>
          <w:rFonts w:ascii="微软雅黑" w:eastAsia="微软雅黑" w:hAnsi="微软雅黑" w:cs="微软雅黑"/>
          <w:noProof/>
          <w:szCs w:val="21"/>
        </w:rPr>
        <w:drawing>
          <wp:inline distT="0" distB="0" distL="0" distR="0" wp14:anchorId="1EE4EA79" wp14:editId="5DAE99FC">
            <wp:extent cx="2588260" cy="33477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E933EA"/>
    <w:rsid w:val="000B1B10"/>
    <w:rsid w:val="00186E7C"/>
    <w:rsid w:val="003103BB"/>
    <w:rsid w:val="00442CE4"/>
    <w:rsid w:val="004C542E"/>
    <w:rsid w:val="00612DEF"/>
    <w:rsid w:val="00624D32"/>
    <w:rsid w:val="007217FA"/>
    <w:rsid w:val="009045A2"/>
    <w:rsid w:val="00924D59"/>
    <w:rsid w:val="009657C1"/>
    <w:rsid w:val="009D315C"/>
    <w:rsid w:val="00A21039"/>
    <w:rsid w:val="00AE1576"/>
    <w:rsid w:val="00B153C4"/>
    <w:rsid w:val="00B51A1B"/>
    <w:rsid w:val="00BE695D"/>
    <w:rsid w:val="00CC277C"/>
    <w:rsid w:val="00DC4F30"/>
    <w:rsid w:val="00F965E5"/>
    <w:rsid w:val="03B271EA"/>
    <w:rsid w:val="0B97445A"/>
    <w:rsid w:val="0DBB35FD"/>
    <w:rsid w:val="0FEE097B"/>
    <w:rsid w:val="1A052D9D"/>
    <w:rsid w:val="1D097A57"/>
    <w:rsid w:val="226F259E"/>
    <w:rsid w:val="3CCE16E1"/>
    <w:rsid w:val="43DA0E66"/>
    <w:rsid w:val="489C7AC2"/>
    <w:rsid w:val="4D260264"/>
    <w:rsid w:val="4E0524EE"/>
    <w:rsid w:val="4FDD4D67"/>
    <w:rsid w:val="51FE6F89"/>
    <w:rsid w:val="5718566B"/>
    <w:rsid w:val="643B69D1"/>
    <w:rsid w:val="71600F63"/>
    <w:rsid w:val="719D7B50"/>
    <w:rsid w:val="71DB0848"/>
    <w:rsid w:val="77CB23FA"/>
    <w:rsid w:val="79355D77"/>
    <w:rsid w:val="7EE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5ED98"/>
  <w15:docId w15:val="{0BBE2A8D-DE92-4E2D-B7AE-6CC6B77F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nicehim</dc:creator>
  <cp:lastModifiedBy> </cp:lastModifiedBy>
  <cp:revision>3</cp:revision>
  <dcterms:created xsi:type="dcterms:W3CDTF">2021-11-01T01:32:00Z</dcterms:created>
  <dcterms:modified xsi:type="dcterms:W3CDTF">2021-11-01T01:35:00Z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905BED8B60EC43AE9A69383E72EDB8F2</vt:lpwstr>
  </property>
</Properties>
</file>