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bottom w:val="single" w:color="CC3300" w:sz="12" w:space="3"/>
        </w:pBdr>
        <w:shd w:val="clear" w:color="auto" w:fill="FFFFFF"/>
        <w:spacing w:line="360" w:lineRule="exact"/>
        <w:jc w:val="center"/>
        <w:rPr>
          <w:rFonts w:hint="default"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z w:val="21"/>
          <w:szCs w:val="21"/>
          <w:shd w:val="clear" w:color="auto" w:fill="FFFFFF"/>
        </w:rPr>
        <w:t>上海建桥学院专升本【西方经济学】课程考试大纲</w:t>
      </w:r>
    </w:p>
    <w:p>
      <w:pPr>
        <w:pStyle w:val="5"/>
        <w:widowControl/>
        <w:shd w:val="clear" w:color="auto" w:fill="FFFFFF"/>
        <w:spacing w:before="60" w:beforeAutospacing="0" w:afterAutospacing="0" w:line="360" w:lineRule="exact"/>
        <w:rPr>
          <w:rFonts w:ascii="微软雅黑" w:hAnsi="微软雅黑" w:eastAsia="微软雅黑" w:cs="微软雅黑"/>
          <w:b/>
          <w:bCs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shd w:val="clear" w:color="auto" w:fill="FFFFFF"/>
        </w:rPr>
        <w:t>一、考试目标</w:t>
      </w:r>
    </w:p>
    <w:p>
      <w:pPr>
        <w:pStyle w:val="5"/>
        <w:widowControl/>
        <w:shd w:val="clear" w:color="auto" w:fill="FFFFFF"/>
        <w:spacing w:line="360" w:lineRule="exact"/>
        <w:ind w:firstLine="480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考试目标是测试学生掌握微观经济学的基本理论和基本分析方法，宏观经济学的基本理论和运行机制，以及运用经济学基本理论和方法来分析和解决实际经济问题的能力，满足国际经济与贸易专业所需经济学基础知识的要求，并为后继课程和专业课程的学习奠定基础。</w:t>
      </w:r>
    </w:p>
    <w:p>
      <w:pPr>
        <w:pStyle w:val="5"/>
        <w:widowControl/>
        <w:shd w:val="clear" w:color="auto" w:fill="FFFFFF"/>
        <w:spacing w:before="60" w:beforeAutospacing="0" w:afterAutospacing="0" w:line="360" w:lineRule="exact"/>
        <w:rPr>
          <w:rFonts w:ascii="微软雅黑" w:hAnsi="微软雅黑" w:eastAsia="微软雅黑" w:cs="微软雅黑"/>
          <w:b/>
          <w:bCs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shd w:val="clear" w:color="auto" w:fill="FFFFFF"/>
        </w:rPr>
        <w:t>二、考试细则</w:t>
      </w:r>
    </w:p>
    <w:p>
      <w:pPr>
        <w:pStyle w:val="5"/>
        <w:widowControl/>
        <w:shd w:val="clear" w:color="auto" w:fill="FFFFFF"/>
        <w:spacing w:line="360" w:lineRule="exact"/>
        <w:ind w:firstLine="480"/>
        <w:rPr>
          <w:rFonts w:ascii="微软雅黑" w:hAnsi="微软雅黑" w:eastAsia="微软雅黑" w:cs="微软雅黑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>1．考试内容包括微观经济学和宏观经济学两部分，分值比例基本为1:1。</w:t>
      </w:r>
    </w:p>
    <w:p>
      <w:pPr>
        <w:pStyle w:val="5"/>
        <w:widowControl/>
        <w:shd w:val="clear" w:color="auto" w:fill="FFFFFF"/>
        <w:spacing w:line="360" w:lineRule="exact"/>
        <w:ind w:firstLine="480"/>
        <w:rPr>
          <w:rFonts w:ascii="微软雅黑" w:hAnsi="微软雅黑" w:eastAsia="微软雅黑" w:cs="微软雅黑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>2. 考试采用闭卷纸质试卷形式完成考试，考试时间为120分钟，总分为100分。</w:t>
      </w:r>
    </w:p>
    <w:p>
      <w:pPr>
        <w:pStyle w:val="5"/>
        <w:widowControl/>
        <w:shd w:val="clear" w:color="auto" w:fill="FFFFFF"/>
        <w:spacing w:line="360" w:lineRule="exact"/>
        <w:ind w:firstLine="480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>3考试题型分为：单项选择题、简答题、计算题和论述题等四种题型。</w:t>
      </w:r>
    </w:p>
    <w:p>
      <w:pPr>
        <w:pStyle w:val="5"/>
        <w:widowControl/>
        <w:shd w:val="clear" w:color="auto" w:fill="FFFFFF"/>
        <w:spacing w:before="60" w:beforeAutospacing="0" w:afterAutospacing="0" w:line="360" w:lineRule="exact"/>
        <w:rPr>
          <w:rFonts w:ascii="微软雅黑" w:hAnsi="微软雅黑" w:eastAsia="微软雅黑" w:cs="微软雅黑"/>
          <w:b/>
          <w:bCs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shd w:val="clear" w:color="auto" w:fill="FFFFFF"/>
        </w:rPr>
        <w:t>三、试卷题型及分值分布要求</w:t>
      </w:r>
    </w:p>
    <w:p>
      <w:pPr>
        <w:pStyle w:val="5"/>
        <w:widowControl/>
        <w:shd w:val="clear" w:color="auto" w:fill="FFFFFF"/>
        <w:spacing w:before="60" w:beforeAutospacing="0" w:afterAutospacing="0" w:line="360" w:lineRule="exact"/>
        <w:rPr>
          <w:rFonts w:ascii="微软雅黑" w:hAnsi="微软雅黑" w:eastAsia="微软雅黑" w:cs="微软雅黑"/>
          <w:b/>
          <w:bCs/>
          <w:sz w:val="28"/>
          <w:szCs w:val="28"/>
          <w:shd w:val="clear" w:color="auto" w:fill="FFFFFF"/>
        </w:rPr>
      </w:pPr>
    </w:p>
    <w:tbl>
      <w:tblPr>
        <w:tblStyle w:val="6"/>
        <w:tblW w:w="507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5"/>
        <w:gridCol w:w="28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题型</w:t>
            </w:r>
          </w:p>
        </w:tc>
        <w:tc>
          <w:tcPr>
            <w:tcW w:w="28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分值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单项选择题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简答题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计算题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论述题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合计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100</w:t>
            </w:r>
          </w:p>
        </w:tc>
      </w:tr>
    </w:tbl>
    <w:p>
      <w:pPr>
        <w:pStyle w:val="5"/>
        <w:widowControl/>
        <w:shd w:val="clear" w:color="auto" w:fill="FFFFFF"/>
        <w:spacing w:after="90" w:afterAutospacing="0" w:line="360" w:lineRule="exact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>注：以上是每次考试的总体性要求，每份考卷的具体分值分布可以略有偏差。</w:t>
      </w:r>
    </w:p>
    <w:p>
      <w:pPr>
        <w:pStyle w:val="5"/>
        <w:widowControl/>
        <w:shd w:val="clear" w:color="auto" w:fill="FFFFFF"/>
        <w:spacing w:before="60" w:beforeAutospacing="0" w:afterAutospacing="0" w:line="360" w:lineRule="exact"/>
        <w:rPr>
          <w:rFonts w:ascii="微软雅黑" w:hAnsi="微软雅黑" w:eastAsia="微软雅黑" w:cs="微软雅黑"/>
          <w:b/>
          <w:bCs/>
          <w:sz w:val="28"/>
          <w:szCs w:val="28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60" w:beforeAutospacing="0" w:afterAutospacing="0" w:line="360" w:lineRule="exact"/>
        <w:rPr>
          <w:rFonts w:ascii="微软雅黑" w:hAnsi="微软雅黑" w:eastAsia="微软雅黑" w:cs="微软雅黑"/>
          <w:b/>
          <w:bCs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shd w:val="clear" w:color="auto" w:fill="FFFFFF"/>
        </w:rPr>
        <w:t>四、考试内容和要求</w:t>
      </w:r>
    </w:p>
    <w:p>
      <w:pPr>
        <w:pStyle w:val="5"/>
        <w:widowControl/>
        <w:shd w:val="clear" w:color="auto" w:fill="FFFFFF"/>
        <w:spacing w:before="60" w:beforeAutospacing="0" w:afterAutospacing="0" w:line="360" w:lineRule="exact"/>
        <w:rPr>
          <w:rFonts w:ascii="微软雅黑" w:hAnsi="微软雅黑" w:eastAsia="微软雅黑" w:cs="微软雅黑"/>
          <w:b/>
          <w:bCs/>
          <w:sz w:val="28"/>
          <w:szCs w:val="28"/>
          <w:shd w:val="clear" w:color="auto" w:fill="FFFFFF"/>
        </w:rPr>
      </w:pPr>
    </w:p>
    <w:tbl>
      <w:tblPr>
        <w:tblStyle w:val="6"/>
        <w:tblW w:w="851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12"/>
        <w:gridCol w:w="4691"/>
        <w:gridCol w:w="101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知识点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范围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6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val="en-US" w:eastAsia="zh-CN"/>
              </w:rPr>
              <w:t>第一章：</w:t>
            </w: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需求、供给及均衡价格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812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88" w:lineRule="auto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（1）</w:t>
            </w:r>
            <w:r>
              <w:rPr>
                <w:rFonts w:ascii="微软雅黑" w:hAnsi="微软雅黑" w:eastAsia="微软雅黑" w:cs="微软雅黑"/>
                <w:kern w:val="0"/>
                <w:szCs w:val="21"/>
              </w:rPr>
              <w:t>需求理论</w:t>
            </w: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需求的定义，影响需求的因素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81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88" w:lineRule="auto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需求函数、需求曲线、需求定理、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812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88" w:lineRule="auto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（2）</w:t>
            </w:r>
            <w:r>
              <w:rPr>
                <w:rFonts w:ascii="微软雅黑" w:hAnsi="微软雅黑" w:eastAsia="微软雅黑" w:cs="微软雅黑"/>
                <w:kern w:val="0"/>
                <w:szCs w:val="21"/>
              </w:rPr>
              <w:t xml:space="preserve">供给理论 </w:t>
            </w: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供给的定义，影响供给的因素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81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88" w:lineRule="auto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供给函数、供给曲线、供给定理、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8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88" w:lineRule="auto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（3）</w:t>
            </w:r>
            <w:r>
              <w:rPr>
                <w:rFonts w:ascii="微软雅黑" w:hAnsi="微软雅黑" w:eastAsia="微软雅黑" w:cs="微软雅黑"/>
                <w:kern w:val="0"/>
                <w:szCs w:val="21"/>
              </w:rPr>
              <w:t>市场均衡</w:t>
            </w: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jc w:val="left"/>
              <w:rPr>
                <w:rFonts w:ascii="微软雅黑" w:hAnsi="微软雅黑" w:eastAsia="微软雅黑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市场均衡的决定及其变动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812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88" w:lineRule="auto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（4）</w:t>
            </w:r>
            <w:r>
              <w:rPr>
                <w:rFonts w:ascii="微软雅黑" w:hAnsi="微软雅黑" w:eastAsia="微软雅黑" w:cs="微软雅黑"/>
                <w:kern w:val="0"/>
                <w:szCs w:val="21"/>
              </w:rPr>
              <w:t>需求弹性与供给弹性</w:t>
            </w: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需求弹性的定义及计算、供给弹性的定义及计算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需求弹和供给弹性分析厂商销售收入和价格的关系、税负的转嫁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28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（5）需求、供给和均衡价格的运用</w:t>
            </w: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运用市场均衡理论和弹性理论分析税收效应、支持价格和限制价格政策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6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val="en-US" w:eastAsia="zh-CN"/>
              </w:rPr>
              <w:t>第二章：</w:t>
            </w: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消费者选择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（1）效用论</w:t>
            </w: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效用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与边际效用</w:t>
            </w:r>
            <w:r>
              <w:rPr>
                <w:rFonts w:hint="eastAsia" w:ascii="微软雅黑" w:hAnsi="微软雅黑" w:eastAsia="微软雅黑"/>
                <w:color w:val="000000"/>
                <w:kern w:val="0"/>
                <w:szCs w:val="21"/>
              </w:rPr>
              <w:t>的定义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边际效用递减理论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基数效用论下和序数效用论下的消费者均衡条件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（2）无差异曲线</w:t>
            </w: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无差异曲线的含义及特点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2812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（3）效用最大化与消费者选择</w:t>
            </w: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预算线的含义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81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ind w:firstLine="210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无差异曲线和收入预算线消费者如何达到效用最大化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6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val="en-US" w:eastAsia="zh-CN"/>
              </w:rPr>
              <w:t>第三章：</w:t>
            </w: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生产和成本理论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（1）生产技术</w:t>
            </w: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厂商、生产、</w:t>
            </w:r>
            <w:r>
              <w:rPr>
                <w:rFonts w:hint="eastAsia" w:ascii="微软雅黑" w:hAnsi="微软雅黑" w:eastAsia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边际技术替代率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的基本概念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短期生产函数、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长期生产函数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281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运用</w:t>
            </w: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短期生产函数分析理性厂商的选择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运用</w:t>
            </w: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长期生产函数分析生产要素的最优组合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（2）成本</w:t>
            </w: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成本的基本概念及分类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等成本线、成本最小化、产量最大化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综合等产量线和等成本线得到生产者均衡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短期成本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的分类、长期成本的概念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短期成本曲线之间的关系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81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规模经济和长期平均成本曲线的形状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6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val="en-US" w:eastAsia="zh-CN"/>
              </w:rPr>
              <w:t>第四章：</w:t>
            </w: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完全竞争市场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（1）厂商和市场的类型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市场的类型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（2）利润最大化</w:t>
            </w: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完全竞争市场的条件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ind w:firstLine="15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完全竞争厂商的需求曲线和收益曲线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ind w:firstLine="15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完全竞争厂商实现利润最大化的均衡原则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ind w:firstLine="15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（3）完全竞争市场短期均衡和长期均衡</w:t>
            </w: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完全竞争市场短期均衡条件和完全竞争市场长期均衡条件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6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val="en-US" w:eastAsia="zh-CN"/>
              </w:rPr>
              <w:t>第五章：</w:t>
            </w: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不完全竞争的市场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（1）垄断</w:t>
            </w: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垄断市场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条件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垄断厂商的需求曲线、收益曲线、供给曲线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垄断市场的短期均衡与长期均衡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垄断厂商的价格歧视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812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（2）垄断竞争</w:t>
            </w: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垄断竞争市场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的条件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81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垄断竞争厂商的需求曲线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垄断竞争市场的短期均衡与长期均衡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非价格竞争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（3）寡头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寡头市场的特征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281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古诺模型、斯塔克伯格模型、价格领导模型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（4）不同市场的比较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不同市场的比较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val="en-US" w:eastAsia="zh-CN"/>
              </w:rPr>
              <w:t>第六章：</w:t>
            </w: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生产要素价格的决定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（1）要素需求和供给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完全竞争厂商使用生产要素的原则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要素市场</w:t>
            </w:r>
            <w:r>
              <w:rPr>
                <w:rFonts w:hint="eastAsia" w:ascii="微软雅黑" w:hAnsi="微软雅黑" w:eastAsia="微软雅黑"/>
                <w:szCs w:val="21"/>
              </w:rPr>
              <w:t>的需求与供给</w:t>
            </w:r>
            <w:r>
              <w:rPr>
                <w:rFonts w:ascii="微软雅黑" w:hAnsi="微软雅黑" w:eastAsia="微软雅黑"/>
                <w:szCs w:val="21"/>
              </w:rPr>
              <w:t>一般原理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（2）劳动要素和土地要素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工资的决定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、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地租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的决定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（3）洛伦兹曲线和基尼系数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洛伦兹曲线和基尼系数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val="en-US" w:eastAsia="zh-CN"/>
              </w:rPr>
              <w:t>第九章：</w:t>
            </w: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宏观经济的基本指标及其衡量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（1）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国内生产总值及其核算方法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GDP的定义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支出法、收入法核算GDP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（2）国民收入的其他衡量指标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NDP、NI、PI、DPI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（3）国民收入的基本公式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国民收入恒等式及核算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（4）价格水平及其衡量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GDP平减指数、CPI、通货膨胀、名义GDP与实际GDP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（5）失业及其衡量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失业率、就业率、劳动力参与率</w:t>
            </w:r>
          </w:p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失业类型：周期性失业、摩擦性失业、结构性失业、自然失业率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（6）宏观经济问题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失业、通货膨胀、滞涨、经济增长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  <w:lang w:val="en-US" w:eastAsia="zh-CN"/>
              </w:rPr>
              <w:t>第十章：</w:t>
            </w: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 xml:space="preserve">国民收入决定理论：收入支出模型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（1）均衡产出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均衡国民收入或均衡产出概念</w:t>
            </w:r>
          </w:p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有效需求原理及框架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投资等于储蓄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（2）凯恩斯消费函数理论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消费函数、储蓄函数、消费函数和储蓄函数的关系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（3）</w:t>
            </w:r>
            <w:r>
              <w:rPr>
                <w:rFonts w:ascii="微软雅黑" w:hAnsi="微软雅黑" w:eastAsia="微软雅黑"/>
                <w:color w:val="000000"/>
                <w:sz w:val="21"/>
                <w:szCs w:val="21"/>
              </w:rPr>
              <w:t>国民收入的决定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和</w:t>
            </w:r>
            <w:r>
              <w:rPr>
                <w:rFonts w:ascii="微软雅黑" w:hAnsi="微软雅黑" w:eastAsia="微软雅黑"/>
                <w:color w:val="000000"/>
                <w:sz w:val="21"/>
                <w:szCs w:val="21"/>
              </w:rPr>
              <w:t>乘数论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两部门经济中国民收入的决定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三部门济中国民收入的决定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四部门经济中国民收入的决定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投资乘数原理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（4）其他消费理论</w:t>
            </w:r>
          </w:p>
        </w:tc>
        <w:tc>
          <w:tcPr>
            <w:tcW w:w="4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相对收入假说、恒久收入假说、生命周期假说</w:t>
            </w:r>
          </w:p>
        </w:tc>
        <w:tc>
          <w:tcPr>
            <w:tcW w:w="1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（5）凯恩斯投资理论等</w:t>
            </w:r>
          </w:p>
        </w:tc>
        <w:tc>
          <w:tcPr>
            <w:tcW w:w="4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投资函数、投资影响因素</w:t>
            </w:r>
          </w:p>
        </w:tc>
        <w:tc>
          <w:tcPr>
            <w:tcW w:w="1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val="en-US" w:eastAsia="zh-CN"/>
              </w:rPr>
              <w:t>第十一章：</w:t>
            </w: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 xml:space="preserve">国民收入决定：IS-LM模型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（1）凯恩斯货币需求理论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货币需求理论（流动偏好理论）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；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流动性陷阱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spacing w:after="90"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货币需求方程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spacing w:after="90"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（2）IS曲线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IS曲线推导、斜率和移动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（3）LM曲线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LM曲线推导、斜率和移动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（4）IS－LM理论模型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IS－LM的均衡的利率和收入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均衡收入和利率的变动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失衡、四个区域特点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（6）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凯恩斯的基本理论框架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凯恩斯的基本理论框架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  <w:lang w:val="en-US" w:eastAsia="zh-CN"/>
              </w:rPr>
              <w:t>第十二章：</w:t>
            </w: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国民收入决定：AD-AS模型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（1）AD曲线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总需求曲线的基本形状与基本含义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总需求曲线的推导和移动、影响因素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（2）AS曲线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三种总供给曲线、AS曲线变动和影响因素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（3）AD-AS模型应用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对外来冲击的反应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val="en-US" w:eastAsia="zh-CN"/>
              </w:rPr>
              <w:t>第十三章：</w:t>
            </w: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失业与通货膨胀、经济周期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（1）失业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失业的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宏观经济学解释（古典经济学、凯恩斯、新凯恩斯主义经济学、现代货币主义）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奥肯定律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（2）通货膨胀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通货膨胀的类型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通货膨胀的形成原因、经济效应和反通货膨胀的对策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（3）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菲利普斯曲线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菲利普斯曲线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的提出及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政策含义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（4）通货紧缩和滞涨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通货紧缩定义、滞涨原因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（5）经济周期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定义、阶段、类型、经济周期理论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  <w:lang w:val="en-US" w:eastAsia="zh-CN"/>
              </w:rPr>
              <w:t>第十五章：</w:t>
            </w: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 xml:space="preserve"> 宏观经济政策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88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（1）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宏观经济政策目标及影响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宏观经济政策目标及作用和影响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281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88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（2）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财政政策及效果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财政政策及其工具、效应的IS-LM模型分析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281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88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功能财政思想和自动稳定器的作用原理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281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88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（3）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货币政策及其工具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商业银行、中央银行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281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88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存款创造和货币供给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88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货币政策及其工具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88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货币政策效果的IS-LM图形分析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（4）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两种政策的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局限性及协调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两种政策的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局限性、协调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（5）供给管理政策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人力政策、收入政策、指数化政策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了解</w:t>
            </w:r>
          </w:p>
        </w:tc>
      </w:tr>
    </w:tbl>
    <w:p>
      <w:pPr>
        <w:pStyle w:val="5"/>
        <w:widowControl/>
        <w:shd w:val="clear" w:color="auto" w:fill="FFFFFF"/>
        <w:spacing w:before="60" w:beforeAutospacing="0" w:afterAutospacing="0" w:line="360" w:lineRule="exact"/>
        <w:rPr>
          <w:rFonts w:ascii="微软雅黑" w:hAnsi="微软雅黑" w:eastAsia="微软雅黑" w:cs="微软雅黑"/>
          <w:b/>
          <w:bCs/>
          <w:sz w:val="28"/>
          <w:szCs w:val="28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60" w:beforeAutospacing="0" w:afterAutospacing="0" w:line="360" w:lineRule="exact"/>
        <w:rPr>
          <w:rFonts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shd w:val="clear" w:color="auto" w:fill="FFFFFF"/>
        </w:rPr>
        <w:t xml:space="preserve">五、参考教材  </w:t>
      </w:r>
    </w:p>
    <w:p>
      <w:pPr>
        <w:pStyle w:val="5"/>
        <w:widowControl/>
        <w:shd w:val="clear" w:color="auto" w:fill="FFFFFF"/>
        <w:spacing w:line="360" w:lineRule="exact"/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西方经济学（上册）（第二版），《西方经济学》编写组主编，高等教育出版社、人民出版社，2019年9月</w:t>
      </w:r>
    </w:p>
    <w:p>
      <w:pPr>
        <w:pStyle w:val="5"/>
        <w:widowControl/>
        <w:shd w:val="clear" w:color="auto" w:fill="FFFFFF"/>
        <w:spacing w:line="360" w:lineRule="exact"/>
        <w:rPr>
          <w:rFonts w:ascii="微软雅黑" w:hAnsi="微软雅黑" w:eastAsia="微软雅黑" w:cs="微软雅黑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西方经济学（下册）（第二版），《西方经济学》编写组主编，高等教育出版社、人民出版社，2019年9月</w:t>
      </w:r>
      <w:bookmarkStart w:id="0" w:name="_GoBack"/>
      <w:bookmarkEnd w:id="0"/>
    </w:p>
    <w:p>
      <w:pPr>
        <w:pStyle w:val="5"/>
        <w:widowControl/>
        <w:shd w:val="clear" w:color="auto" w:fill="FFFFFF"/>
        <w:spacing w:before="100" w:after="100" w:line="6560" w:lineRule="exact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506980" cy="3184525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180" cy="320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shd w:val="clear" w:color="auto" w:fill="FFFFFF"/>
        <w:spacing w:before="100" w:after="90" w:afterAutospacing="0" w:line="6560" w:lineRule="exact"/>
        <w:rPr>
          <w:rFonts w:hint="eastAsia"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drawing>
          <wp:inline distT="0" distB="0" distL="0" distR="0">
            <wp:extent cx="2588260" cy="3347720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8260" cy="334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A5ZWRhZDBhMzFiMzgyNTI0NDZjMjVmNWJhZTI1MDYifQ=="/>
  </w:docVars>
  <w:rsids>
    <w:rsidRoot w:val="7EE933EA"/>
    <w:rsid w:val="000B1B10"/>
    <w:rsid w:val="00186E7C"/>
    <w:rsid w:val="003103BB"/>
    <w:rsid w:val="00442CE4"/>
    <w:rsid w:val="004C542E"/>
    <w:rsid w:val="00612DEF"/>
    <w:rsid w:val="00624D32"/>
    <w:rsid w:val="007217FA"/>
    <w:rsid w:val="009045A2"/>
    <w:rsid w:val="00924D59"/>
    <w:rsid w:val="009657C1"/>
    <w:rsid w:val="009D315C"/>
    <w:rsid w:val="00A21039"/>
    <w:rsid w:val="00AE1576"/>
    <w:rsid w:val="00B153C4"/>
    <w:rsid w:val="00B51A1B"/>
    <w:rsid w:val="00BE695D"/>
    <w:rsid w:val="00CC277C"/>
    <w:rsid w:val="00DC4F30"/>
    <w:rsid w:val="00F965E5"/>
    <w:rsid w:val="03B271EA"/>
    <w:rsid w:val="0B97445A"/>
    <w:rsid w:val="0DBB35FD"/>
    <w:rsid w:val="0FEE097B"/>
    <w:rsid w:val="1A052D9D"/>
    <w:rsid w:val="1D097A57"/>
    <w:rsid w:val="226F259E"/>
    <w:rsid w:val="3CCE16E1"/>
    <w:rsid w:val="43DA0E66"/>
    <w:rsid w:val="489C7AC2"/>
    <w:rsid w:val="4D260264"/>
    <w:rsid w:val="4E0524EE"/>
    <w:rsid w:val="4FDD4D67"/>
    <w:rsid w:val="51FE6F89"/>
    <w:rsid w:val="5718566B"/>
    <w:rsid w:val="5D2D2525"/>
    <w:rsid w:val="643B69D1"/>
    <w:rsid w:val="71600F63"/>
    <w:rsid w:val="719D7B50"/>
    <w:rsid w:val="71DB0848"/>
    <w:rsid w:val="77CB23FA"/>
    <w:rsid w:val="79355D77"/>
    <w:rsid w:val="7EE9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2643</Words>
  <Characters>2728</Characters>
  <Lines>22</Lines>
  <Paragraphs>6</Paragraphs>
  <TotalTime>9</TotalTime>
  <ScaleCrop>false</ScaleCrop>
  <LinksUpToDate>false</LinksUpToDate>
  <CharactersWithSpaces>2743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2021-11-01T01:32:00Z</dcterms:created>
  <dc:creator>nicehim</dc:creator>
  <cp:lastModifiedBy>feng</cp:lastModifiedBy>
  <dcterms:modified xsi:type="dcterms:W3CDTF">2022-10-16T11:59:14Z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905BED8B60EC43AE9A69383E72EDB8F2</vt:lpwstr>
  </property>
</Properties>
</file>